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  <w:r>
        <w:rPr>
          <w:b/>
          <w:sz w:val="28"/>
        </w:rPr>
        <w:t>D - 06.03.01</w:t>
      </w:r>
    </w:p>
    <w:p w:rsidR="00064E53" w:rsidRDefault="00064E53" w:rsidP="00064E53">
      <w:pPr>
        <w:jc w:val="center"/>
        <w:rPr>
          <w:b/>
          <w:sz w:val="27"/>
        </w:rPr>
      </w:pPr>
    </w:p>
    <w:p w:rsidR="00064E53" w:rsidRDefault="00064E53" w:rsidP="00064E53">
      <w:pPr>
        <w:jc w:val="center"/>
        <w:rPr>
          <w:b/>
          <w:sz w:val="27"/>
        </w:rPr>
      </w:pPr>
      <w:r>
        <w:rPr>
          <w:b/>
          <w:sz w:val="28"/>
        </w:rPr>
        <w:t>ŚCINANIE  I  UZUPEŁNIANIE  POBOCZY</w:t>
      </w: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b/>
          <w:sz w:val="28"/>
        </w:rPr>
      </w:pPr>
    </w:p>
    <w:p w:rsidR="00064E53" w:rsidRDefault="00064E53" w:rsidP="00064E53">
      <w:pPr>
        <w:jc w:val="center"/>
        <w:rPr>
          <w:sz w:val="19"/>
        </w:rPr>
      </w:pPr>
      <w:r>
        <w:rPr>
          <w:b/>
          <w:sz w:val="28"/>
        </w:rPr>
        <w:br w:type="page"/>
      </w:r>
      <w:r>
        <w:rPr>
          <w:sz w:val="19"/>
        </w:rPr>
        <w:lastRenderedPageBreak/>
        <w:t xml:space="preserve"> </w:t>
      </w:r>
    </w:p>
    <w:p w:rsidR="00064E53" w:rsidRDefault="00064E53" w:rsidP="00064E53">
      <w:pPr>
        <w:pBdr>
          <w:bottom w:val="single" w:sz="6" w:space="1" w:color="auto"/>
        </w:pBdr>
        <w:rPr>
          <w:sz w:val="19"/>
        </w:rPr>
      </w:pPr>
    </w:p>
    <w:p w:rsidR="00064E53" w:rsidRDefault="00064E53" w:rsidP="00064E53">
      <w:pPr>
        <w:spacing w:before="240"/>
        <w:jc w:val="center"/>
        <w:rPr>
          <w:b/>
        </w:rPr>
      </w:pPr>
      <w:r>
        <w:rPr>
          <w:b/>
        </w:rPr>
        <w:t>SPIS TREŚCI</w:t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b w:val="0"/>
        </w:rPr>
        <w:t xml:space="preserve">  </w:t>
      </w:r>
      <w:r>
        <w:rPr>
          <w:b w:val="0"/>
        </w:rPr>
        <w:fldChar w:fldCharType="begin"/>
      </w:r>
      <w:r>
        <w:rPr>
          <w:b w:val="0"/>
        </w:rPr>
        <w:instrText xml:space="preserve"> TOC \o "1-1" </w:instrText>
      </w:r>
      <w:r>
        <w:rPr>
          <w:b w:val="0"/>
        </w:rPr>
        <w:fldChar w:fldCharType="separate"/>
      </w:r>
      <w:r>
        <w:rPr>
          <w:noProof/>
        </w:rPr>
        <w:t>1. WSTĘP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_Toc428247148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_Toc428247148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2. MATERIAŁY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_Toc428247149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_Toc428247149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3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3. SPRZĘT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_Toc428247150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_Toc428247150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4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4. TRANSPORT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_Toc428247151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_Toc428247151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4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5. WYKONANIE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_Toc428247152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_Toc428247152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4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6. KONTROLA JAKOŚCI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_Toc428247153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_Toc428247153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5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7. OBMIAR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_Toc428247154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_Toc428247154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6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8. ODBIÓR ROBÓT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_Toc428247155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_Toc428247155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 xml:space="preserve">  9. PODSTAWA PŁATNOŚCI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_Toc428247156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_Toc428247156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pStyle w:val="Spistreci1"/>
        <w:spacing w:before="0" w:after="0"/>
        <w:rPr>
          <w:noProof/>
        </w:rPr>
      </w:pPr>
      <w:r>
        <w:rPr>
          <w:noProof/>
        </w:rPr>
        <w:t>10. PRZEPISY ZWIĄZANE</w:t>
      </w:r>
      <w:r>
        <w:rPr>
          <w:b w:val="0"/>
          <w:noProof/>
        </w:rPr>
        <w:tab/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GOTOBUTTON _Toc428247157  </w:instrText>
      </w:r>
      <w:r>
        <w:rPr>
          <w:b w:val="0"/>
          <w:noProof/>
        </w:rPr>
        <w:fldChar w:fldCharType="begin"/>
      </w:r>
      <w:r>
        <w:rPr>
          <w:b w:val="0"/>
          <w:noProof/>
        </w:rPr>
        <w:instrText xml:space="preserve"> PAGEREF _Toc428247157 </w:instrText>
      </w:r>
      <w:r>
        <w:rPr>
          <w:b w:val="0"/>
          <w:noProof/>
        </w:rPr>
        <w:fldChar w:fldCharType="separate"/>
      </w:r>
      <w:r>
        <w:rPr>
          <w:b w:val="0"/>
          <w:noProof/>
        </w:rPr>
        <w:instrText>7</w:instrText>
      </w:r>
      <w:r>
        <w:rPr>
          <w:b w:val="0"/>
          <w:noProof/>
        </w:rPr>
        <w:fldChar w:fldCharType="end"/>
      </w:r>
      <w:r>
        <w:rPr>
          <w:b w:val="0"/>
          <w:noProof/>
        </w:rPr>
        <w:fldChar w:fldCharType="end"/>
      </w:r>
    </w:p>
    <w:p w:rsidR="00064E53" w:rsidRDefault="00064E53" w:rsidP="00064E53">
      <w:pPr>
        <w:tabs>
          <w:tab w:val="left" w:pos="284"/>
          <w:tab w:val="right" w:leader="dot" w:pos="8789"/>
        </w:tabs>
        <w:ind w:left="90"/>
        <w:jc w:val="center"/>
        <w:rPr>
          <w:b/>
        </w:rPr>
      </w:pPr>
      <w:r>
        <w:rPr>
          <w:b/>
        </w:rPr>
        <w:fldChar w:fldCharType="end"/>
      </w:r>
    </w:p>
    <w:p w:rsidR="00064E53" w:rsidRDefault="00064E53" w:rsidP="00064E53">
      <w:pPr>
        <w:pBdr>
          <w:top w:val="single" w:sz="6" w:space="1" w:color="auto"/>
        </w:pBdr>
        <w:tabs>
          <w:tab w:val="left" w:pos="284"/>
          <w:tab w:val="right" w:leader="dot" w:pos="8789"/>
        </w:tabs>
        <w:jc w:val="center"/>
        <w:rPr>
          <w:b/>
        </w:rPr>
      </w:pPr>
    </w:p>
    <w:p w:rsidR="00064E53" w:rsidRDefault="00064E53" w:rsidP="00064E53">
      <w:pPr>
        <w:pBdr>
          <w:top w:val="single" w:sz="6" w:space="1" w:color="auto"/>
        </w:pBdr>
        <w:tabs>
          <w:tab w:val="left" w:pos="284"/>
          <w:tab w:val="right" w:leader="dot" w:pos="8789"/>
        </w:tabs>
        <w:spacing w:before="120" w:after="120"/>
        <w:jc w:val="center"/>
        <w:rPr>
          <w:b/>
        </w:rPr>
      </w:pPr>
      <w:r>
        <w:rPr>
          <w:b/>
        </w:rPr>
        <w:t>NAJWAŻNIEJSZE OZNACZENIA I SKRÓTY</w:t>
      </w:r>
    </w:p>
    <w:tbl>
      <w:tblPr>
        <w:tblW w:w="0" w:type="auto"/>
        <w:tblInd w:w="16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10"/>
        <w:gridCol w:w="3420"/>
      </w:tblGrid>
      <w:tr w:rsidR="00064E53" w:rsidTr="00064E53">
        <w:tc>
          <w:tcPr>
            <w:tcW w:w="810" w:type="dxa"/>
            <w:hideMark/>
          </w:tcPr>
          <w:p w:rsidR="00064E53" w:rsidRDefault="00064E53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OST</w:t>
            </w:r>
          </w:p>
        </w:tc>
        <w:tc>
          <w:tcPr>
            <w:tcW w:w="3420" w:type="dxa"/>
            <w:hideMark/>
          </w:tcPr>
          <w:p w:rsidR="00064E53" w:rsidRDefault="00064E53">
            <w:pPr>
              <w:tabs>
                <w:tab w:val="right" w:leader="dot" w:pos="-1985"/>
                <w:tab w:val="left" w:pos="284"/>
              </w:tabs>
            </w:pPr>
            <w:r>
              <w:t>- ogólna specyfikacja techniczna</w:t>
            </w:r>
          </w:p>
        </w:tc>
      </w:tr>
      <w:tr w:rsidR="00064E53" w:rsidTr="00064E53">
        <w:tc>
          <w:tcPr>
            <w:tcW w:w="810" w:type="dxa"/>
            <w:hideMark/>
          </w:tcPr>
          <w:p w:rsidR="00064E53" w:rsidRDefault="00064E53">
            <w:pPr>
              <w:tabs>
                <w:tab w:val="right" w:leader="dot" w:pos="-1985"/>
                <w:tab w:val="left" w:pos="284"/>
              </w:tabs>
              <w:jc w:val="left"/>
            </w:pPr>
            <w:r>
              <w:t>SST</w:t>
            </w:r>
          </w:p>
        </w:tc>
        <w:tc>
          <w:tcPr>
            <w:tcW w:w="3420" w:type="dxa"/>
            <w:hideMark/>
          </w:tcPr>
          <w:p w:rsidR="00064E53" w:rsidRDefault="00064E53">
            <w:pPr>
              <w:tabs>
                <w:tab w:val="right" w:leader="dot" w:pos="-1985"/>
                <w:tab w:val="left" w:pos="284"/>
              </w:tabs>
            </w:pPr>
            <w:r>
              <w:t>- szczegółowa specyfikacja techniczna</w:t>
            </w:r>
          </w:p>
        </w:tc>
      </w:tr>
    </w:tbl>
    <w:p w:rsidR="00064E53" w:rsidRDefault="00064E53" w:rsidP="00064E53">
      <w:pPr>
        <w:tabs>
          <w:tab w:val="right" w:leader="dot" w:pos="-1985"/>
          <w:tab w:val="left" w:pos="284"/>
        </w:tabs>
        <w:rPr>
          <w:sz w:val="19"/>
        </w:rPr>
      </w:pPr>
    </w:p>
    <w:p w:rsidR="00064E53" w:rsidRDefault="00064E53" w:rsidP="00064E53">
      <w:pPr>
        <w:overflowPunct/>
        <w:autoSpaceDE/>
        <w:autoSpaceDN/>
        <w:adjustRightInd/>
        <w:jc w:val="left"/>
        <w:rPr>
          <w:sz w:val="19"/>
        </w:rPr>
        <w:sectPr w:rsidR="00064E53">
          <w:pgSz w:w="11907" w:h="16840"/>
          <w:pgMar w:top="2835" w:right="2268" w:bottom="2835" w:left="2268" w:header="1985" w:footer="1531" w:gutter="0"/>
          <w:cols w:space="708"/>
        </w:sectPr>
      </w:pPr>
    </w:p>
    <w:p w:rsidR="00064E53" w:rsidRDefault="00064E53" w:rsidP="00064E53">
      <w:pPr>
        <w:pStyle w:val="Nagwek1"/>
      </w:pPr>
      <w:bookmarkStart w:id="0" w:name="_Toc428247148"/>
      <w:bookmarkStart w:id="1" w:name="_Toc416830698"/>
      <w:bookmarkStart w:id="2" w:name="_Toc404150096"/>
      <w:r>
        <w:lastRenderedPageBreak/>
        <w:t>1. WSTĘP</w:t>
      </w:r>
      <w:bookmarkEnd w:id="0"/>
      <w:bookmarkEnd w:id="1"/>
      <w:bookmarkEnd w:id="2"/>
    </w:p>
    <w:p w:rsidR="00064E53" w:rsidRDefault="00064E53" w:rsidP="00064E53">
      <w:pPr>
        <w:pStyle w:val="Nagwek2"/>
      </w:pPr>
      <w:r>
        <w:t>1.1. Przedmiot S</w:t>
      </w:r>
      <w:r>
        <w:t>ST</w:t>
      </w:r>
    </w:p>
    <w:p w:rsidR="00064E53" w:rsidRDefault="00064E53" w:rsidP="00064E53">
      <w:r>
        <w:rPr>
          <w:b/>
        </w:rPr>
        <w:tab/>
      </w:r>
      <w:r>
        <w:t xml:space="preserve">Przedmiotem niniejszej </w:t>
      </w:r>
      <w:r>
        <w:t>szczegółowej specyfikacji technicznej (S</w:t>
      </w:r>
      <w:r>
        <w:t>ST) są wymagania dotyczące wykonania i odbioru robót związanych ze ścinaniem i uzupełnianiem poboczy gruntowych.</w:t>
      </w:r>
    </w:p>
    <w:p w:rsidR="00064E53" w:rsidRDefault="00064E53" w:rsidP="00064E53">
      <w:pPr>
        <w:pStyle w:val="Nagwek2"/>
      </w:pPr>
      <w:r>
        <w:t>1.2. Zakres stosowania S</w:t>
      </w:r>
      <w:r>
        <w:t>ST</w:t>
      </w:r>
    </w:p>
    <w:p w:rsidR="00064E53" w:rsidRPr="00064E53" w:rsidRDefault="00064E53" w:rsidP="00064E53">
      <w:pPr>
        <w:tabs>
          <w:tab w:val="left" w:pos="0"/>
        </w:tabs>
      </w:pPr>
      <w:r>
        <w:tab/>
      </w:r>
      <w:r w:rsidRPr="00064E53">
        <w:t>Szczegółowa specyfikacja techniczna (SST) stanowi dokument przetargowy i kontraktowy przy zlecaniu i realizacji zadania :</w:t>
      </w:r>
    </w:p>
    <w:p w:rsidR="00064E53" w:rsidRPr="00064E53" w:rsidRDefault="00064E53" w:rsidP="00064E53">
      <w:pPr>
        <w:ind w:firstLine="709"/>
        <w:textAlignment w:val="baseline"/>
        <w:rPr>
          <w:b/>
        </w:rPr>
      </w:pPr>
    </w:p>
    <w:p w:rsidR="00064E53" w:rsidRDefault="00064E53" w:rsidP="00064E53">
      <w:pPr>
        <w:ind w:firstLine="708"/>
      </w:pPr>
      <w:r w:rsidRPr="00064E53">
        <w:rPr>
          <w:b/>
        </w:rPr>
        <w:t>Remont drogi gminnej nr ew. 1 OBRĘB 0006 Bystre</w:t>
      </w:r>
    </w:p>
    <w:p w:rsidR="00064E53" w:rsidRDefault="00064E53" w:rsidP="00064E53">
      <w:pPr>
        <w:pStyle w:val="Nagwek2"/>
      </w:pPr>
      <w:r>
        <w:t>1.3. Zak</w:t>
      </w:r>
      <w:r>
        <w:t>res robót objętych S</w:t>
      </w:r>
      <w:r>
        <w:t>ST</w:t>
      </w:r>
      <w:bookmarkStart w:id="3" w:name="_GoBack"/>
      <w:bookmarkEnd w:id="3"/>
    </w:p>
    <w:p w:rsidR="00064E53" w:rsidRDefault="00064E53" w:rsidP="00064E53">
      <w:r>
        <w:tab/>
        <w:t>Ustalenia zawarte w niniejszej specyfikacji dotyczą zasad prowadzenia robót związanych ze ścinaniem zawyżonych poboczy i uzupełnianiem zaniżonych poboczy.</w:t>
      </w:r>
    </w:p>
    <w:p w:rsidR="00064E53" w:rsidRDefault="00064E53" w:rsidP="00064E53">
      <w:pPr>
        <w:pStyle w:val="Nagwek2"/>
      </w:pPr>
      <w:r>
        <w:t>1.4. Określenia podstawowe</w:t>
      </w:r>
    </w:p>
    <w:p w:rsidR="00064E53" w:rsidRDefault="00064E53" w:rsidP="00064E53">
      <w:r>
        <w:rPr>
          <w:b/>
        </w:rPr>
        <w:t xml:space="preserve">1.4.1. </w:t>
      </w:r>
      <w:r>
        <w:t>Pobocze gruntowe - część korony drogi przeznaczona do chwilowego zatrzymania się pojazdów, umieszczenia urządzeń bezpieczeństwa ruchu i wykorzystywana do ruchu pieszych, służąca jednocześnie do bocznego oparcia konstrukcji nawierzchni.</w:t>
      </w:r>
    </w:p>
    <w:p w:rsidR="00064E53" w:rsidRDefault="00064E53" w:rsidP="00064E53">
      <w:pPr>
        <w:spacing w:before="120"/>
      </w:pPr>
      <w:r>
        <w:rPr>
          <w:b/>
        </w:rPr>
        <w:t xml:space="preserve">1.4.2. </w:t>
      </w:r>
      <w:r>
        <w:t>Odkład - miejsce składowania gruntu pozyskanego w czasie ścinania poboczy.</w:t>
      </w:r>
    </w:p>
    <w:p w:rsidR="00064E53" w:rsidRDefault="00064E53" w:rsidP="00064E53">
      <w:pPr>
        <w:spacing w:before="120"/>
      </w:pPr>
      <w:r>
        <w:rPr>
          <w:b/>
        </w:rPr>
        <w:t xml:space="preserve">1.4.3. </w:t>
      </w:r>
      <w:r>
        <w:t>Dokop - miejsce pozyskania gruntu do wykonania uzupełnienia poboczy położone poza pasem drogowym.</w:t>
      </w:r>
    </w:p>
    <w:p w:rsidR="00064E53" w:rsidRDefault="00064E53" w:rsidP="00064E53">
      <w:pPr>
        <w:spacing w:before="120"/>
      </w:pPr>
      <w:r>
        <w:rPr>
          <w:b/>
        </w:rPr>
        <w:t xml:space="preserve">1.4.4. </w:t>
      </w:r>
      <w:r>
        <w:t>Pozostałe określenia podstawowe są zgodne z obowiązującymi, odpowiednimi polskimi normami i z definicjami podanymi w OST D-M-00.00.00 „Wymagania ogólne” pkt 1.4.</w:t>
      </w:r>
    </w:p>
    <w:p w:rsidR="00064E53" w:rsidRDefault="00064E53" w:rsidP="00064E53">
      <w:pPr>
        <w:pStyle w:val="Nagwek2"/>
      </w:pPr>
      <w:r>
        <w:t>1.5. Ogólne wymagania dotyczące robót</w:t>
      </w:r>
    </w:p>
    <w:p w:rsidR="00064E53" w:rsidRDefault="00064E53" w:rsidP="00064E53">
      <w:r>
        <w:tab/>
        <w:t>Ogólne wymagania dotyczące robót podano w OST D-M-00.00.00 „Wymagania ogólne” pkt 1.5.</w:t>
      </w:r>
    </w:p>
    <w:p w:rsidR="00064E53" w:rsidRDefault="00064E53" w:rsidP="00064E53">
      <w:pPr>
        <w:pStyle w:val="Nagwek1"/>
      </w:pPr>
      <w:bookmarkStart w:id="4" w:name="_Toc428247149"/>
      <w:r>
        <w:t>2. MATERIAŁY</w:t>
      </w:r>
      <w:bookmarkEnd w:id="4"/>
    </w:p>
    <w:p w:rsidR="00064E53" w:rsidRDefault="00064E53" w:rsidP="00064E53">
      <w:pPr>
        <w:pStyle w:val="Nagwek2"/>
      </w:pPr>
      <w:r>
        <w:t>2.1. Ogólne wymagania dotyczące materiałów</w:t>
      </w:r>
    </w:p>
    <w:p w:rsidR="00064E53" w:rsidRDefault="00064E53" w:rsidP="00064E53">
      <w:r>
        <w:tab/>
        <w:t>Ogólne wymagania dotyczące materiałów, ich pozyskiwania i składowania, podano w  OST D-M-00.00.00 „Wymagania ogólne” pkt 2.</w:t>
      </w:r>
    </w:p>
    <w:p w:rsidR="00064E53" w:rsidRDefault="00064E53" w:rsidP="00064E53">
      <w:pPr>
        <w:pStyle w:val="Nagwek2"/>
      </w:pPr>
      <w:r>
        <w:t>2.2. Rodzaje materiałów</w:t>
      </w:r>
    </w:p>
    <w:p w:rsidR="00064E53" w:rsidRDefault="00064E53" w:rsidP="00064E53">
      <w:r>
        <w:tab/>
        <w:t>Rodzaje materiałów stosowanych do uzupełnienia poboczy podano w OST                 D-05.01.00 „Nawierzchnie gruntowe” i D-05.01.01 „Nawierzchnia gruntowa naturalna”.</w:t>
      </w:r>
    </w:p>
    <w:p w:rsidR="00064E53" w:rsidRDefault="00064E53" w:rsidP="00064E53">
      <w:pPr>
        <w:pStyle w:val="Nagwek1"/>
      </w:pPr>
      <w:bookmarkStart w:id="5" w:name="_Toc428247150"/>
      <w:r>
        <w:t>3. SPRZĘT</w:t>
      </w:r>
      <w:bookmarkEnd w:id="5"/>
    </w:p>
    <w:p w:rsidR="00064E53" w:rsidRDefault="00064E53" w:rsidP="00064E53">
      <w:pPr>
        <w:pStyle w:val="Nagwek2"/>
      </w:pPr>
      <w:r>
        <w:t>3.1. Ogólne wymagania dotyczące sprzętu</w:t>
      </w:r>
    </w:p>
    <w:p w:rsidR="00064E53" w:rsidRDefault="00064E53" w:rsidP="00064E53">
      <w:r>
        <w:tab/>
        <w:t>Ogólne wymagania dotyczące sprzętu podano w OST D-M-00.00.00 „Wymagania ogólne” pkt 3.</w:t>
      </w:r>
    </w:p>
    <w:p w:rsidR="00064E53" w:rsidRDefault="00064E53" w:rsidP="00064E53">
      <w:pPr>
        <w:pStyle w:val="Nagwek2"/>
      </w:pPr>
      <w:r>
        <w:t>3.2. Sprzęt do ścinania i uzupełniania poboczy</w:t>
      </w:r>
    </w:p>
    <w:p w:rsidR="00064E53" w:rsidRDefault="00064E53" w:rsidP="00064E53">
      <w:r>
        <w:tab/>
        <w:t>Wykonawca przystępujący do wykonania robót określonych w niniejszej OST powinien wykazać się możliwością korzystania z następującego sprzętu:</w:t>
      </w:r>
    </w:p>
    <w:p w:rsidR="00064E53" w:rsidRDefault="00064E53" w:rsidP="00064E53">
      <w:pPr>
        <w:numPr>
          <w:ilvl w:val="0"/>
          <w:numId w:val="1"/>
        </w:numPr>
      </w:pPr>
      <w:r>
        <w:t>zrywarek, kultywatorów lub bron talerzowych,</w:t>
      </w:r>
    </w:p>
    <w:p w:rsidR="00064E53" w:rsidRDefault="00064E53" w:rsidP="00064E53">
      <w:pPr>
        <w:numPr>
          <w:ilvl w:val="0"/>
          <w:numId w:val="1"/>
        </w:numPr>
      </w:pPr>
      <w:r>
        <w:t>równiarek z transporterem (</w:t>
      </w:r>
      <w:proofErr w:type="spellStart"/>
      <w:r>
        <w:t>ścinarki</w:t>
      </w:r>
      <w:proofErr w:type="spellEnd"/>
      <w:r>
        <w:t xml:space="preserve"> poboczy),</w:t>
      </w:r>
    </w:p>
    <w:p w:rsidR="00064E53" w:rsidRDefault="00064E53" w:rsidP="00064E53">
      <w:pPr>
        <w:numPr>
          <w:ilvl w:val="0"/>
          <w:numId w:val="1"/>
        </w:numPr>
      </w:pPr>
      <w:r>
        <w:t>równiarek do profilowania,</w:t>
      </w:r>
    </w:p>
    <w:p w:rsidR="00064E53" w:rsidRDefault="00064E53" w:rsidP="00064E53">
      <w:pPr>
        <w:numPr>
          <w:ilvl w:val="0"/>
          <w:numId w:val="1"/>
        </w:numPr>
      </w:pPr>
      <w:r>
        <w:t>ładowarek czołowych,</w:t>
      </w:r>
    </w:p>
    <w:p w:rsidR="00064E53" w:rsidRDefault="00064E53" w:rsidP="00064E53">
      <w:pPr>
        <w:numPr>
          <w:ilvl w:val="0"/>
          <w:numId w:val="1"/>
        </w:numPr>
      </w:pPr>
      <w:r>
        <w:t>walców,</w:t>
      </w:r>
    </w:p>
    <w:p w:rsidR="00064E53" w:rsidRDefault="00064E53" w:rsidP="00064E53">
      <w:pPr>
        <w:numPr>
          <w:ilvl w:val="0"/>
          <w:numId w:val="1"/>
        </w:numPr>
      </w:pPr>
      <w:r>
        <w:t>płytowych zagęszczarek wibracyjnych,</w:t>
      </w:r>
    </w:p>
    <w:p w:rsidR="00064E53" w:rsidRDefault="00064E53" w:rsidP="00064E53">
      <w:pPr>
        <w:numPr>
          <w:ilvl w:val="0"/>
          <w:numId w:val="1"/>
        </w:numPr>
      </w:pPr>
      <w:r>
        <w:t>przewoźnych zbiorników na wodę.</w:t>
      </w:r>
    </w:p>
    <w:p w:rsidR="00064E53" w:rsidRDefault="00064E53" w:rsidP="00064E53">
      <w:pPr>
        <w:pStyle w:val="Nagwek1"/>
      </w:pPr>
      <w:bookmarkStart w:id="6" w:name="_Toc428247151"/>
      <w:r>
        <w:lastRenderedPageBreak/>
        <w:t>4. TRANSPORT</w:t>
      </w:r>
      <w:bookmarkEnd w:id="6"/>
    </w:p>
    <w:p w:rsidR="00064E53" w:rsidRDefault="00064E53" w:rsidP="00064E53">
      <w:pPr>
        <w:pStyle w:val="Nagwek2"/>
      </w:pPr>
      <w:r>
        <w:t>4.1. Ogólne wymagania dotyczące transportu</w:t>
      </w:r>
    </w:p>
    <w:p w:rsidR="00064E53" w:rsidRDefault="00064E53" w:rsidP="00064E53">
      <w:r>
        <w:tab/>
        <w:t>Ogólne wymagania dotyczące transportu podano w OST D-M-00.00.00 „Wymagania ogólne” pkt 4.</w:t>
      </w:r>
    </w:p>
    <w:p w:rsidR="00064E53" w:rsidRDefault="00064E53" w:rsidP="00064E53">
      <w:pPr>
        <w:pStyle w:val="Nagwek2"/>
      </w:pPr>
      <w:r>
        <w:t>4.2. Transport materiałów</w:t>
      </w:r>
    </w:p>
    <w:p w:rsidR="00064E53" w:rsidRDefault="00064E53" w:rsidP="00064E53">
      <w:r>
        <w:tab/>
        <w:t>Przy wykonywaniu robót określonych w niniejszej OST, można korzystać z dowolnych środków transportowych przeznaczonych do przewozu gruntu.</w:t>
      </w:r>
    </w:p>
    <w:p w:rsidR="00064E53" w:rsidRDefault="00064E53" w:rsidP="00064E53">
      <w:pPr>
        <w:pStyle w:val="Nagwek1"/>
      </w:pPr>
      <w:bookmarkStart w:id="7" w:name="_Toc428247152"/>
      <w:r>
        <w:t>5. WYKONANIE ROBÓT</w:t>
      </w:r>
      <w:bookmarkEnd w:id="7"/>
    </w:p>
    <w:p w:rsidR="00064E53" w:rsidRDefault="00064E53" w:rsidP="00064E53">
      <w:pPr>
        <w:pStyle w:val="Nagwek2"/>
      </w:pPr>
      <w:r>
        <w:t>5.1. Ogólne zasady wykonania robót</w:t>
      </w:r>
    </w:p>
    <w:p w:rsidR="00064E53" w:rsidRDefault="00064E53" w:rsidP="00064E53">
      <w:r>
        <w:tab/>
        <w:t>Ogólne zasady wykonania robót podano w OST D-M-00.00.00 „Wymagania ogólne” pkt 5.</w:t>
      </w:r>
    </w:p>
    <w:p w:rsidR="00064E53" w:rsidRDefault="00064E53" w:rsidP="00064E53">
      <w:pPr>
        <w:pStyle w:val="Nagwek2"/>
      </w:pPr>
      <w:r>
        <w:t>5.2. Ścinanie poboczy</w:t>
      </w:r>
    </w:p>
    <w:p w:rsidR="00064E53" w:rsidRDefault="00064E53" w:rsidP="00064E53">
      <w:r>
        <w:tab/>
        <w:t>Ścinanie poboczy może być wykonywane ręcznie, za pomocą łopat lub sprzętem mechanicznym wg pkt 3.2.</w:t>
      </w:r>
    </w:p>
    <w:p w:rsidR="00064E53" w:rsidRDefault="00064E53" w:rsidP="00064E53">
      <w:r>
        <w:tab/>
        <w:t>Ścinanie poboczy należy przeprowadzić od krawędzi pobocza do krawędzi nawierzchni, zgodnie z założonym w dokumentacji projektowej spadkiem poprzecznym.</w:t>
      </w:r>
    </w:p>
    <w:p w:rsidR="00064E53" w:rsidRDefault="00064E53" w:rsidP="00064E53">
      <w:r>
        <w:tab/>
        <w:t>Nadmiar gruntu uzyskanego podczas ścinania poboczy należy wywieźć na odkład. Miejsce odkładu należy uzgodnić z Inżynierem.</w:t>
      </w:r>
    </w:p>
    <w:p w:rsidR="00064E53" w:rsidRDefault="00064E53" w:rsidP="00064E53">
      <w:r>
        <w:tab/>
        <w:t>Grunt pozostały w poboczu należy spulchnić na głębokość od 5 do 10 cm, doprowadzić do wilgotności optymalnej poprzez dodanie wody i zagęścić.</w:t>
      </w:r>
    </w:p>
    <w:p w:rsidR="00064E53" w:rsidRDefault="00064E53" w:rsidP="00064E53">
      <w:r>
        <w:tab/>
        <w:t xml:space="preserve">Wskaźnik zagęszczenia określony zgodnie z BN-77/8931-12 [3], powinien wynosić co najmniej 0,98 maksymalnego zagęszczenia, według normalnej metody </w:t>
      </w:r>
      <w:proofErr w:type="spellStart"/>
      <w:r>
        <w:t>Proctora</w:t>
      </w:r>
      <w:proofErr w:type="spellEnd"/>
      <w:r>
        <w:t>, zgodnie z PN-B-04481 [1].</w:t>
      </w:r>
    </w:p>
    <w:p w:rsidR="00064E53" w:rsidRDefault="00064E53" w:rsidP="00064E53">
      <w:pPr>
        <w:pStyle w:val="Nagwek2"/>
      </w:pPr>
      <w:r>
        <w:t>5.3. Uzupełnianie poboczy</w:t>
      </w:r>
    </w:p>
    <w:p w:rsidR="00064E53" w:rsidRDefault="00064E53" w:rsidP="00064E53">
      <w:r>
        <w:tab/>
        <w:t>W przypadku występowania ubytków (wgłębień) i zaniżenia w poboczach należy je uzupełnić materiałem o właściwościach podobnych do materiału, z którego zostały pobocza wykonane.</w:t>
      </w:r>
    </w:p>
    <w:p w:rsidR="00064E53" w:rsidRDefault="00064E53" w:rsidP="00064E53">
      <w:r>
        <w:tab/>
        <w:t>Miejsce, w którym wykonywane będzie uzupełnienie, należy spulchnić na głębokość od 2 do 3 cm, doprowadzić do wilgotności optymalnej, a następnie ułożyć w nim warstwę materiału uzupełniającego w postaci mieszanek optymalnych określonych w OST D-05.01.01 „Nawierzchnia gruntowa naturalna”. Wilgotność optymalną i maksymalną gęstość szkieletu gruntowego mieszanek należy określić laboratoryjnie, zgodnie z PN-B-04481 [1].</w:t>
      </w:r>
    </w:p>
    <w:p w:rsidR="00064E53" w:rsidRDefault="00064E53" w:rsidP="00064E53">
      <w:r>
        <w:tab/>
        <w:t>Zagęszczenie ułożonej warstwy materiału uzupełniającego należy prowadzić od krawędzi poboczy w kierunku krawędzi nawierzchni. Rodzaj sprzętu do zagęszczania musi być zaakceptowany przez Inżyniera. Zagęszczona powierzchnia powinna być równa, posiadać spadek poprzeczny zgodny z założonym w dokumentacji projektowej, oraz nie posiadać śladów po przejściu walców lub zagęszczarek.</w:t>
      </w:r>
    </w:p>
    <w:p w:rsidR="00064E53" w:rsidRDefault="00064E53" w:rsidP="00064E53">
      <w:r>
        <w:tab/>
        <w:t xml:space="preserve">Wskaźnik zagęszczenia wykonany według BN-77/8931-12 [3] powinien wynosić co najmniej 0,98 maksymalnego zagęszczenia według normalnej próby </w:t>
      </w:r>
      <w:proofErr w:type="spellStart"/>
      <w:r>
        <w:t>Proctora</w:t>
      </w:r>
      <w:proofErr w:type="spellEnd"/>
      <w:r>
        <w:t>, zgodnie z PN-B-04481 [1].</w:t>
      </w:r>
    </w:p>
    <w:p w:rsidR="00064E53" w:rsidRDefault="00064E53" w:rsidP="00064E53">
      <w:pPr>
        <w:pStyle w:val="Nagwek1"/>
      </w:pPr>
      <w:bookmarkStart w:id="8" w:name="_Toc428247153"/>
      <w:r>
        <w:t>6. KONTROLA JAKOŚCI ROBÓT</w:t>
      </w:r>
      <w:bookmarkEnd w:id="8"/>
    </w:p>
    <w:p w:rsidR="00064E53" w:rsidRDefault="00064E53" w:rsidP="00064E53">
      <w:pPr>
        <w:pStyle w:val="Nagwek2"/>
      </w:pPr>
      <w:r>
        <w:t>6.1. Ogólne zasady kontroli jakości robót</w:t>
      </w:r>
    </w:p>
    <w:p w:rsidR="00064E53" w:rsidRDefault="00064E53" w:rsidP="00064E53">
      <w:r>
        <w:tab/>
        <w:t>Ogólne zasady kontroli jakości robót podano w OST D-M-00.00.00 „Wymagania ogólne” pkt 6.</w:t>
      </w:r>
    </w:p>
    <w:p w:rsidR="00064E53" w:rsidRDefault="00064E53" w:rsidP="00064E53">
      <w:pPr>
        <w:pStyle w:val="Nagwek2"/>
      </w:pPr>
      <w:r>
        <w:t>6.2. Badania przed przystąpieniem do robót</w:t>
      </w:r>
    </w:p>
    <w:p w:rsidR="00064E53" w:rsidRDefault="00064E53" w:rsidP="00064E53">
      <w:r>
        <w:tab/>
        <w:t>Przed przystąpieniem do robót Wykonawca przeprowadzi badania gruntów proponowanych do uzupełnienia poboczy oraz opracuje optymalny skład mieszanki według OST D-05.01.00 „Nawierzchnie gruntowe”, OST D-05.01.01 „Nawierzchnia gruntowa naturalna”.</w:t>
      </w:r>
    </w:p>
    <w:p w:rsidR="00064E53" w:rsidRDefault="00064E53" w:rsidP="00064E53">
      <w:pPr>
        <w:pStyle w:val="Nagwek2"/>
      </w:pPr>
      <w:r>
        <w:t>6.3. Badania w czasie robót</w:t>
      </w:r>
    </w:p>
    <w:p w:rsidR="00064E53" w:rsidRDefault="00064E53" w:rsidP="00064E53">
      <w:r>
        <w:tab/>
        <w:t>Częstotliwość oraz zakres badań i pomiarów w czasie prowadzenia robót  podano w tablicy 1.</w:t>
      </w:r>
    </w:p>
    <w:p w:rsidR="00064E53" w:rsidRDefault="00064E53" w:rsidP="00064E53"/>
    <w:p w:rsidR="00064E53" w:rsidRDefault="00064E53" w:rsidP="00064E53"/>
    <w:p w:rsidR="00064E53" w:rsidRDefault="00064E53" w:rsidP="00064E53">
      <w:pPr>
        <w:spacing w:after="120"/>
      </w:pPr>
      <w:r>
        <w:t>Tablica 1. Częstotliwość oraz zakres badań i pomiarów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544"/>
        <w:gridCol w:w="3260"/>
      </w:tblGrid>
      <w:tr w:rsidR="00064E53" w:rsidTr="00064E53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4E53" w:rsidRDefault="00064E53">
            <w:pPr>
              <w:jc w:val="center"/>
            </w:pPr>
          </w:p>
          <w:p w:rsidR="00064E53" w:rsidRDefault="00064E53">
            <w:pPr>
              <w:jc w:val="center"/>
            </w:pPr>
            <w:r>
              <w:t>Lp.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64E53" w:rsidRDefault="00064E53"/>
          <w:p w:rsidR="00064E53" w:rsidRDefault="00064E53">
            <w:pPr>
              <w:jc w:val="center"/>
            </w:pPr>
            <w:r>
              <w:t>Wyszczególnienie badań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jc w:val="center"/>
            </w:pPr>
            <w:r>
              <w:t>Częstotliwość badań</w:t>
            </w:r>
          </w:p>
          <w:p w:rsidR="00064E53" w:rsidRDefault="00064E53">
            <w:pPr>
              <w:jc w:val="center"/>
            </w:pPr>
            <w:r>
              <w:t>Minimalna liczba badań na dziennej działce roboczej</w:t>
            </w:r>
          </w:p>
        </w:tc>
      </w:tr>
      <w:tr w:rsidR="00064E53" w:rsidTr="00064E53">
        <w:tc>
          <w:tcPr>
            <w:tcW w:w="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  <w:jc w:val="center"/>
            </w:pPr>
            <w:r>
              <w:lastRenderedPageBreak/>
              <w:t>1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</w:pPr>
            <w:r>
              <w:t>Uziarnienie mieszanki uzupełniającej</w:t>
            </w:r>
          </w:p>
        </w:tc>
        <w:tc>
          <w:tcPr>
            <w:tcW w:w="3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  <w:jc w:val="center"/>
            </w:pPr>
            <w:r>
              <w:t>2 próbki</w:t>
            </w:r>
          </w:p>
        </w:tc>
      </w:tr>
      <w:tr w:rsidR="00064E53" w:rsidTr="00064E53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r>
              <w:t>Wilgotność optymalna mieszanki uzupełniającej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120"/>
              <w:jc w:val="center"/>
            </w:pPr>
            <w:r>
              <w:t>2 próbki</w:t>
            </w:r>
          </w:p>
        </w:tc>
      </w:tr>
      <w:tr w:rsidR="00064E53" w:rsidTr="00064E53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r>
              <w:t>Wilgotność optymalna gruntu w ściętym poboczu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120"/>
              <w:jc w:val="center"/>
            </w:pPr>
            <w:r>
              <w:t>2 próbki</w:t>
            </w:r>
          </w:p>
        </w:tc>
      </w:tr>
      <w:tr w:rsidR="00064E53" w:rsidTr="00064E53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jc w:val="center"/>
            </w:pPr>
            <w:r>
              <w:t>4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r>
              <w:t>Wskaźnik zagęszczenia na ścinanych lub uzupełnianych poboczach</w:t>
            </w:r>
          </w:p>
        </w:tc>
        <w:tc>
          <w:tcPr>
            <w:tcW w:w="3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120"/>
              <w:jc w:val="center"/>
            </w:pPr>
            <w:r>
              <w:t>2 razy na 1 km</w:t>
            </w:r>
          </w:p>
        </w:tc>
      </w:tr>
    </w:tbl>
    <w:p w:rsidR="00064E53" w:rsidRDefault="00064E53" w:rsidP="00064E53">
      <w:pPr>
        <w:pStyle w:val="Nagwek2"/>
        <w:spacing w:before="360"/>
      </w:pPr>
      <w:r>
        <w:t>6.4. Pomiar cech geometrycznych ścinanych lub uzupełnianych poboczy</w:t>
      </w:r>
    </w:p>
    <w:p w:rsidR="00064E53" w:rsidRDefault="00064E53" w:rsidP="00064E53">
      <w:pPr>
        <w:spacing w:after="120"/>
      </w:pPr>
      <w:r>
        <w:tab/>
        <w:t>Częstotliwość oraz zakres pomiarów po zakończeniu robót podano w tablicy 2.</w:t>
      </w:r>
    </w:p>
    <w:p w:rsidR="00064E53" w:rsidRDefault="00064E53" w:rsidP="00064E53">
      <w:pPr>
        <w:spacing w:after="120"/>
      </w:pPr>
      <w:r>
        <w:t>Tablica 2. Częstotliwość oraz zakres pomiarów ścinanych lub uzupełnianych poboczy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7"/>
        <w:gridCol w:w="3544"/>
        <w:gridCol w:w="3260"/>
      </w:tblGrid>
      <w:tr w:rsidR="00064E53" w:rsidTr="00064E53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  <w:jc w:val="center"/>
            </w:pPr>
            <w:r>
              <w:rPr>
                <w:b/>
              </w:rPr>
              <w:t xml:space="preserve"> </w:t>
            </w:r>
            <w:r>
              <w:t>Lp.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  <w:jc w:val="center"/>
            </w:pPr>
            <w:r>
              <w:t>Wyszczególnienie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doub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/>
              <w:jc w:val="center"/>
            </w:pPr>
            <w:r>
              <w:t>Minimalna częstotliwość pomiarów</w:t>
            </w:r>
          </w:p>
        </w:tc>
      </w:tr>
      <w:tr w:rsidR="00064E53" w:rsidTr="00064E53">
        <w:tc>
          <w:tcPr>
            <w:tcW w:w="63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3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</w:pPr>
            <w:r>
              <w:t>Spadki poprzeczne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6" w:space="0" w:color="auto"/>
            </w:tcBorders>
            <w:hideMark/>
          </w:tcPr>
          <w:p w:rsidR="00064E53" w:rsidRDefault="00064E53">
            <w:pPr>
              <w:spacing w:before="60"/>
              <w:jc w:val="center"/>
            </w:pPr>
            <w:r>
              <w:t>2 razy na 100 m</w:t>
            </w:r>
          </w:p>
        </w:tc>
      </w:tr>
      <w:tr w:rsidR="00064E53" w:rsidTr="00064E53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</w:pPr>
            <w:r>
              <w:t>Równość podłużna</w:t>
            </w:r>
          </w:p>
        </w:tc>
        <w:tc>
          <w:tcPr>
            <w:tcW w:w="326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hideMark/>
          </w:tcPr>
          <w:p w:rsidR="00064E53" w:rsidRDefault="00064E53">
            <w:pPr>
              <w:spacing w:before="120"/>
              <w:jc w:val="center"/>
            </w:pPr>
            <w:r>
              <w:t>co 50 m</w:t>
            </w:r>
          </w:p>
        </w:tc>
      </w:tr>
      <w:tr w:rsidR="00064E53" w:rsidTr="00064E53">
        <w:tc>
          <w:tcPr>
            <w:tcW w:w="6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  <w:jc w:val="center"/>
            </w:pPr>
            <w:r>
              <w:t>3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64E53" w:rsidRDefault="00064E53">
            <w:pPr>
              <w:spacing w:before="60" w:after="60"/>
            </w:pPr>
            <w:r>
              <w:t>Równość poprzeczna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64E53" w:rsidRDefault="00064E53"/>
        </w:tc>
      </w:tr>
    </w:tbl>
    <w:p w:rsidR="00064E53" w:rsidRDefault="00064E53" w:rsidP="00064E53"/>
    <w:p w:rsidR="00064E53" w:rsidRDefault="00064E53" w:rsidP="00064E53">
      <w:pPr>
        <w:spacing w:before="120"/>
      </w:pPr>
      <w:r>
        <w:rPr>
          <w:b/>
        </w:rPr>
        <w:t xml:space="preserve">6.4.1. </w:t>
      </w:r>
      <w:r>
        <w:t>Spadki poprzeczne poboczy</w:t>
      </w:r>
    </w:p>
    <w:p w:rsidR="00064E53" w:rsidRDefault="00064E53" w:rsidP="00064E53">
      <w:pPr>
        <w:spacing w:before="120"/>
      </w:pPr>
      <w:r>
        <w:tab/>
        <w:t xml:space="preserve">Spadki poprzeczne poboczy powinny być zgodne z dokumentacją projektową,             z tolerancją </w:t>
      </w:r>
      <w:r>
        <w:sym w:font="Symbol" w:char="F0B1"/>
      </w:r>
      <w:r>
        <w:t xml:space="preserve"> 1%.</w:t>
      </w:r>
    </w:p>
    <w:p w:rsidR="00064E53" w:rsidRDefault="00064E53" w:rsidP="00064E53">
      <w:pPr>
        <w:spacing w:before="120"/>
      </w:pPr>
      <w:r>
        <w:rPr>
          <w:b/>
        </w:rPr>
        <w:t xml:space="preserve">6.4.2. </w:t>
      </w:r>
      <w:r>
        <w:t>Równość poboczy</w:t>
      </w:r>
    </w:p>
    <w:p w:rsidR="00064E53" w:rsidRDefault="00064E53" w:rsidP="00064E53">
      <w:pPr>
        <w:spacing w:before="120"/>
      </w:pPr>
      <w:r>
        <w:tab/>
        <w:t>Nierówności podłużne i poprzeczne należy mierzyć łatą 4-metrową wg BN-68/8931-04 [2].  Maksymalny prześwit pod łatą nie może przekraczać 15 mm.</w:t>
      </w:r>
    </w:p>
    <w:p w:rsidR="00064E53" w:rsidRDefault="00064E53" w:rsidP="00064E53">
      <w:pPr>
        <w:pStyle w:val="Nagwek1"/>
      </w:pPr>
      <w:bookmarkStart w:id="9" w:name="_Toc428247154"/>
      <w:r>
        <w:t>7. OBMIAR ROBÓT</w:t>
      </w:r>
      <w:bookmarkEnd w:id="9"/>
    </w:p>
    <w:p w:rsidR="00064E53" w:rsidRDefault="00064E53" w:rsidP="00064E53">
      <w:pPr>
        <w:pStyle w:val="Nagwek2"/>
      </w:pPr>
      <w:r>
        <w:t>7.1. Ogólne zasady obmiaru robót</w:t>
      </w:r>
    </w:p>
    <w:p w:rsidR="00064E53" w:rsidRDefault="00064E53" w:rsidP="00064E53">
      <w:r>
        <w:tab/>
        <w:t>Ogólne zasady obmiaru robót podano w OST D-M-00.00.00 „Wymagania ogólne” pkt 7.</w:t>
      </w:r>
    </w:p>
    <w:p w:rsidR="00064E53" w:rsidRDefault="00064E53" w:rsidP="00064E53">
      <w:pPr>
        <w:pStyle w:val="Nagwek2"/>
      </w:pPr>
      <w:r>
        <w:t>7.2. Jednostka obmiarowa</w:t>
      </w:r>
    </w:p>
    <w:p w:rsidR="00064E53" w:rsidRDefault="00064E53" w:rsidP="00064E53">
      <w:r>
        <w:rPr>
          <w:b/>
        </w:rPr>
        <w:tab/>
      </w:r>
      <w:r>
        <w:t>Jednostką obmiarową jest m</w:t>
      </w:r>
      <w:r>
        <w:rPr>
          <w:vertAlign w:val="superscript"/>
        </w:rPr>
        <w:t>2</w:t>
      </w:r>
      <w:r>
        <w:t xml:space="preserve"> (metr kwadratowy) wykonanych robót na poboczach. </w:t>
      </w:r>
    </w:p>
    <w:p w:rsidR="00064E53" w:rsidRDefault="00064E53" w:rsidP="00064E53">
      <w:pPr>
        <w:pStyle w:val="Nagwek1"/>
      </w:pPr>
      <w:bookmarkStart w:id="10" w:name="_Toc428247155"/>
      <w:r>
        <w:t>8. ODBIÓR ROBÓT</w:t>
      </w:r>
      <w:bookmarkEnd w:id="10"/>
    </w:p>
    <w:p w:rsidR="00064E53" w:rsidRDefault="00064E53" w:rsidP="00064E53">
      <w:r>
        <w:rPr>
          <w:b/>
        </w:rPr>
        <w:tab/>
      </w:r>
      <w:r>
        <w:t>Ogólne zasady odbioru robót podano w OST D-M-00.00.00 „Wymagania ogólne” pkt 8.</w:t>
      </w:r>
    </w:p>
    <w:p w:rsidR="00064E53" w:rsidRDefault="00064E53" w:rsidP="00064E53">
      <w:r>
        <w:tab/>
        <w:t>Roboty uznaje się za wykonane zgodnie z dokumentacją projektową, SST                      i wymaganiami Inżyniera, jeżeli wszystkie pomiary i badania z zachowaniem tolerancji wg pkt 6 dały wyniki pozytywne.</w:t>
      </w:r>
    </w:p>
    <w:p w:rsidR="00064E53" w:rsidRDefault="00064E53" w:rsidP="00064E53">
      <w:pPr>
        <w:pStyle w:val="Nagwek1"/>
      </w:pPr>
      <w:bookmarkStart w:id="11" w:name="_Toc428247156"/>
      <w:r>
        <w:t>9. PODSTAWA PŁATNOŚCI</w:t>
      </w:r>
      <w:bookmarkEnd w:id="11"/>
    </w:p>
    <w:p w:rsidR="00064E53" w:rsidRDefault="00064E53" w:rsidP="00064E53">
      <w:pPr>
        <w:pStyle w:val="Nagwek2"/>
      </w:pPr>
      <w:r>
        <w:t>9.1. Ogólne ustalenia dotyczące podstawy płatności</w:t>
      </w:r>
    </w:p>
    <w:p w:rsidR="00064E53" w:rsidRDefault="00064E53" w:rsidP="00064E53">
      <w:r>
        <w:tab/>
        <w:t>Ogólne ustalenia dotyczące podstawy płatności podano w OST D-M-00.00.00 „Wymagania ogólne” pkt 9.</w:t>
      </w:r>
    </w:p>
    <w:p w:rsidR="00064E53" w:rsidRDefault="00064E53" w:rsidP="00064E53">
      <w:pPr>
        <w:pStyle w:val="Nagwek2"/>
      </w:pPr>
      <w:r>
        <w:t>9.2. Cena jednostki obmiarowej</w:t>
      </w:r>
    </w:p>
    <w:p w:rsidR="00064E53" w:rsidRDefault="00064E53" w:rsidP="00064E53">
      <w:r>
        <w:rPr>
          <w:b/>
        </w:rPr>
        <w:tab/>
      </w:r>
      <w:r>
        <w:t>Cena wykonania 1 m</w:t>
      </w:r>
      <w:r>
        <w:rPr>
          <w:vertAlign w:val="superscript"/>
        </w:rPr>
        <w:t>2</w:t>
      </w:r>
      <w:r>
        <w:t xml:space="preserve"> robót obejmuje:</w:t>
      </w:r>
    </w:p>
    <w:p w:rsidR="00064E53" w:rsidRDefault="00064E53" w:rsidP="00064E53">
      <w:pPr>
        <w:numPr>
          <w:ilvl w:val="0"/>
          <w:numId w:val="1"/>
        </w:numPr>
      </w:pPr>
      <w:r>
        <w:t>prace pomiarowe i przygotowawcze,</w:t>
      </w:r>
    </w:p>
    <w:p w:rsidR="00064E53" w:rsidRDefault="00064E53" w:rsidP="00064E53">
      <w:pPr>
        <w:numPr>
          <w:ilvl w:val="0"/>
          <w:numId w:val="1"/>
        </w:numPr>
      </w:pPr>
      <w:r>
        <w:t>oznakowanie robót,</w:t>
      </w:r>
    </w:p>
    <w:p w:rsidR="00064E53" w:rsidRDefault="00064E53" w:rsidP="00064E53">
      <w:pPr>
        <w:numPr>
          <w:ilvl w:val="0"/>
          <w:numId w:val="1"/>
        </w:numPr>
      </w:pPr>
      <w:r>
        <w:t>ścięcie poboczy i zagęszczenie podłoża,</w:t>
      </w:r>
    </w:p>
    <w:p w:rsidR="00064E53" w:rsidRDefault="00064E53" w:rsidP="00064E53">
      <w:pPr>
        <w:numPr>
          <w:ilvl w:val="0"/>
          <w:numId w:val="1"/>
        </w:numPr>
      </w:pPr>
      <w:r>
        <w:t>odwiezienie gruntu na odkład,</w:t>
      </w:r>
    </w:p>
    <w:p w:rsidR="00064E53" w:rsidRDefault="00064E53" w:rsidP="00064E53">
      <w:pPr>
        <w:numPr>
          <w:ilvl w:val="0"/>
          <w:numId w:val="1"/>
        </w:numPr>
      </w:pPr>
      <w:r>
        <w:t>dostarczenie materiału uzupełniającego,</w:t>
      </w:r>
    </w:p>
    <w:p w:rsidR="00064E53" w:rsidRDefault="00064E53" w:rsidP="00064E53">
      <w:pPr>
        <w:numPr>
          <w:ilvl w:val="0"/>
          <w:numId w:val="1"/>
        </w:numPr>
      </w:pPr>
      <w:r>
        <w:t>rozłożenie materiału,</w:t>
      </w:r>
    </w:p>
    <w:p w:rsidR="00064E53" w:rsidRDefault="00064E53" w:rsidP="00064E53">
      <w:pPr>
        <w:numPr>
          <w:ilvl w:val="0"/>
          <w:numId w:val="1"/>
        </w:numPr>
      </w:pPr>
      <w:r>
        <w:t>zagęszczenie poboczy,</w:t>
      </w:r>
    </w:p>
    <w:p w:rsidR="00064E53" w:rsidRDefault="00064E53" w:rsidP="00064E53">
      <w:pPr>
        <w:numPr>
          <w:ilvl w:val="0"/>
          <w:numId w:val="1"/>
        </w:numPr>
      </w:pPr>
      <w:r>
        <w:lastRenderedPageBreak/>
        <w:t>przeprowadzenie pomiarów i badań laboratoryjnych wymaganych w specyfikacji technicznej.</w:t>
      </w:r>
    </w:p>
    <w:p w:rsidR="00064E53" w:rsidRDefault="00064E53" w:rsidP="00064E53">
      <w:pPr>
        <w:pStyle w:val="Nagwek1"/>
      </w:pPr>
      <w:bookmarkStart w:id="12" w:name="_Toc428247157"/>
      <w:r>
        <w:t>10. PRZEPISY ZWIĄZANE</w:t>
      </w:r>
      <w:bookmarkEnd w:id="12"/>
    </w:p>
    <w:p w:rsidR="00064E53" w:rsidRDefault="00064E53" w:rsidP="00064E53">
      <w:pPr>
        <w:pStyle w:val="Nagwek2"/>
      </w:pPr>
      <w:r>
        <w:t>10.1. Normy</w:t>
      </w:r>
    </w:p>
    <w:p w:rsidR="00064E53" w:rsidRDefault="00064E53" w:rsidP="00064E53">
      <w:r>
        <w:t>1.  PN-B-04481</w:t>
      </w:r>
      <w:r>
        <w:tab/>
        <w:t xml:space="preserve">     Grunty budowlane. Badania laboratoryjne</w:t>
      </w:r>
    </w:p>
    <w:p w:rsidR="00064E53" w:rsidRDefault="00064E53" w:rsidP="00064E53">
      <w:r>
        <w:t xml:space="preserve">2.  BN-68/8931-04   Drogi samochodowe. Pomiar równości nawierzchni </w:t>
      </w:r>
      <w:proofErr w:type="spellStart"/>
      <w:r>
        <w:t>planografem</w:t>
      </w:r>
      <w:proofErr w:type="spellEnd"/>
      <w:r>
        <w:t xml:space="preserve"> i łatą</w:t>
      </w:r>
    </w:p>
    <w:p w:rsidR="00064E53" w:rsidRDefault="00064E53" w:rsidP="00064E53">
      <w:pPr>
        <w:tabs>
          <w:tab w:val="left" w:pos="1701"/>
        </w:tabs>
      </w:pPr>
      <w:r>
        <w:t>3.  BN-77/8931-12   Oznaczenie wskaźnika zagęszczenia gruntu.</w:t>
      </w:r>
    </w:p>
    <w:p w:rsidR="00064E53" w:rsidRDefault="00064E53" w:rsidP="00064E53">
      <w:pPr>
        <w:pStyle w:val="Nagwek2"/>
      </w:pPr>
      <w:r>
        <w:t>10.2. Inne materiały</w:t>
      </w:r>
    </w:p>
    <w:p w:rsidR="00064E53" w:rsidRDefault="00064E53" w:rsidP="00064E53">
      <w:r>
        <w:t xml:space="preserve">4.  Stanisław Datka, Stanisław </w:t>
      </w:r>
      <w:proofErr w:type="spellStart"/>
      <w:r>
        <w:t>Luszawski</w:t>
      </w:r>
      <w:proofErr w:type="spellEnd"/>
      <w:r>
        <w:t>: Drogowe roboty ziemne.</w:t>
      </w:r>
    </w:p>
    <w:p w:rsidR="00064E53" w:rsidRDefault="00064E53" w:rsidP="00064E53"/>
    <w:p w:rsidR="002007C4" w:rsidRDefault="002007C4"/>
    <w:sectPr w:rsidR="002007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7AA8324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E53"/>
    <w:rsid w:val="00064E53"/>
    <w:rsid w:val="00200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064E5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4E53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64E53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4E53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64E5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64E53"/>
    <w:pPr>
      <w:tabs>
        <w:tab w:val="right" w:leader="dot" w:pos="7371"/>
      </w:tabs>
      <w:spacing w:before="120" w:after="120"/>
      <w:jc w:val="left"/>
    </w:pPr>
    <w:rPr>
      <w:b/>
      <w:cap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tekst"/>
    <w:qFormat/>
    <w:rsid w:val="00064E53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64E53"/>
    <w:pPr>
      <w:keepNext/>
      <w:keepLines/>
      <w:suppressAutoHyphens/>
      <w:spacing w:before="240" w:after="120"/>
      <w:outlineLvl w:val="0"/>
    </w:pPr>
    <w:rPr>
      <w:b/>
      <w:caps/>
      <w:kern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064E53"/>
    <w:pPr>
      <w:keepNext/>
      <w:spacing w:before="120" w:after="120"/>
      <w:outlineLvl w:val="1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64E53"/>
    <w:rPr>
      <w:rFonts w:ascii="Times New Roman" w:eastAsia="Times New Roman" w:hAnsi="Times New Roman" w:cs="Times New Roman"/>
      <w:b/>
      <w:caps/>
      <w:kern w:val="28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064E53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semiHidden/>
    <w:unhideWhenUsed/>
    <w:rsid w:val="00064E53"/>
    <w:pPr>
      <w:tabs>
        <w:tab w:val="right" w:leader="dot" w:pos="7371"/>
      </w:tabs>
      <w:spacing w:before="120" w:after="120"/>
      <w:jc w:val="left"/>
    </w:pPr>
    <w:rPr>
      <w:b/>
      <w:cap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298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1234</Words>
  <Characters>7410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2021-09-28T07:56:00Z</dcterms:created>
  <dcterms:modified xsi:type="dcterms:W3CDTF">2021-09-28T08:00:00Z</dcterms:modified>
</cp:coreProperties>
</file>